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11614D" w:rsidRDefault="0011614D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16 декабря 2014 г. N 35190</w:t>
      </w:r>
    </w:p>
    <w:p w:rsidR="0011614D" w:rsidRDefault="001161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20 ноября 2014 г. N 1480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18.04.02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ЭНЕРГ</w:t>
      </w:r>
      <w:proofErr w:type="gramStart"/>
      <w:r>
        <w:rPr>
          <w:rFonts w:cs="Times New Roman"/>
          <w:b/>
          <w:bCs/>
        </w:rPr>
        <w:t>О-</w:t>
      </w:r>
      <w:proofErr w:type="gramEnd"/>
      <w:r>
        <w:rPr>
          <w:rFonts w:cs="Times New Roman"/>
          <w:b/>
          <w:bCs/>
        </w:rPr>
        <w:t xml:space="preserve"> И РЕСУРСОСБЕРЕГАЮЩИЕ ПРОЦЕССЫ В ХИМИЧЕСКОЙ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ТЕХНОЛОГИИ, НЕФТЕХИМИИ И БИОТЕХНОЛОГИИ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(УРОВЕНЬ МАГИСТРАТУРЫ)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6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7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7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18.04.02 Энерго- и ресурсосберегающие процессы в химической технологии, нефтехимии и биотехнологии (уровень магистратуры).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8" w:history="1">
        <w:proofErr w:type="gramStart"/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17 декабря 2010 г. N 1896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241000 Энерго- и ресурсосберегающие процессы в химической технологии, нефтехимии и биотехнологии (квалификация (степень) "магистр")" (зарегистрирован Министерством юстиции Российской Федерации 10 февраля 2011 г., регистрационный N 19792);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9" w:history="1">
        <w:r>
          <w:rPr>
            <w:rFonts w:cs="Times New Roman"/>
            <w:color w:val="0000FF"/>
          </w:rPr>
          <w:t>пункт 60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18 мая 2011 г. N 1657 (зарегистрирован Министерством юстиции Российской Федерации 1 июня 2011 г., регистрационный N 20902);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10" w:history="1">
        <w:r>
          <w:rPr>
            <w:rFonts w:cs="Times New Roman"/>
            <w:color w:val="0000FF"/>
          </w:rPr>
          <w:t>пункт 151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30"/>
      <w:bookmarkEnd w:id="1"/>
      <w:r>
        <w:rPr>
          <w:rFonts w:cs="Times New Roman"/>
        </w:rPr>
        <w:t>Приложение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20 ноября 2014 г. N 1480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7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МАГИСТРАТУРА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18.04.02 ЭНЕРГ</w:t>
      </w:r>
      <w:proofErr w:type="gramStart"/>
      <w:r>
        <w:rPr>
          <w:rFonts w:cs="Times New Roman"/>
          <w:b/>
          <w:bCs/>
        </w:rPr>
        <w:t>О-</w:t>
      </w:r>
      <w:proofErr w:type="gramEnd"/>
      <w:r>
        <w:rPr>
          <w:rFonts w:cs="Times New Roman"/>
          <w:b/>
          <w:bCs/>
        </w:rPr>
        <w:t xml:space="preserve"> И РЕСУРСОСБЕРЕГАЮЩИЕ ПРОЦЕССЫ В ХИМИЧЕСКОЙ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ТЕХНОЛОГИИ, НЕФТЕХИМИИ И БИОТЕХНОЛОГИИ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7"/>
      <w:bookmarkEnd w:id="3"/>
      <w:r>
        <w:rPr>
          <w:rFonts w:cs="Times New Roman"/>
        </w:rPr>
        <w:t>I. ОБЛАСТЬ ПРИМЕНЕНИЯ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Настоящий федеральный государственный образовательный стандарт высшего образования представляет собой совокупность требований, </w:t>
      </w:r>
      <w:r>
        <w:rPr>
          <w:rFonts w:cs="Times New Roman"/>
        </w:rPr>
        <w:lastRenderedPageBreak/>
        <w:t>обязательных при реализации основных профессиональных образовательных программ высшего образования - программ магистратуры по направлению подготовки 18.04.02 Энерго- и ресурсосберегающие процессы в химической технологии, нефтехимии и биотехнологии (далее соответственно - программа магистратуры, направление подготовки).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51"/>
      <w:bookmarkEnd w:id="4"/>
      <w:r>
        <w:rPr>
          <w:rFonts w:cs="Times New Roman"/>
        </w:rPr>
        <w:t>II. ИСПОЛЬЗУЕМЫЕ СОКРАЩЕНИЯ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ОК</w:t>
      </w:r>
      <w:proofErr w:type="gramEnd"/>
      <w:r>
        <w:rPr>
          <w:rFonts w:cs="Times New Roman"/>
        </w:rPr>
        <w:t xml:space="preserve"> - общекультурные компетенции;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60"/>
      <w:bookmarkEnd w:id="5"/>
      <w:r>
        <w:rPr>
          <w:rFonts w:cs="Times New Roman"/>
        </w:rPr>
        <w:t>III. ХАРАКТЕРИСТИКА НАПРАВЛЕНИЯ ПОДГОТОВКИ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образования по программе магистратуры допускается только в образовательной организации высшего образования и научной организации (далее - организация).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магистратуры в организации осуществляется в очной и очно-заочной формах обучения.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плану, в том числе ускоренному обучению.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магистратуры: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магистратуры в очной форме обучения, реализуемый за один учебный год, составляет 60 з.е.;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очно-заочной форме обучения, вне зависимости от применяемых образовательных технологий, увеличивается не менее чем на 3 месяца и не более чем на полгода (по усмотрению организации), по сравнению со сроком получения образования по очной форме обучения. Объем программы магистратуры в очно-заочной форме обучения, реализуемый за один учебный год, определяется организацией самостоятельно;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rPr>
          <w:rFonts w:cs="Times New Roman"/>
        </w:rPr>
        <w:t>обучении</w:t>
      </w:r>
      <w:proofErr w:type="gramEnd"/>
      <w:r>
        <w:rPr>
          <w:rFonts w:cs="Times New Roman"/>
        </w:rPr>
        <w:t xml:space="preserve"> по индивидуальному учебному плану лиц с </w:t>
      </w:r>
      <w:r>
        <w:rPr>
          <w:rFonts w:cs="Times New Roman"/>
        </w:rPr>
        <w:lastRenderedPageBreak/>
        <w:t xml:space="preserve">ограниченными возможностями здоровья организация вправе продлить срок не более чем на полгода по сравнению со сроком, установленным для соответствующей формы обучения. Объем программы магистратуры </w:t>
      </w:r>
      <w:proofErr w:type="gramStart"/>
      <w:r>
        <w:rPr>
          <w:rFonts w:cs="Times New Roman"/>
        </w:rPr>
        <w:t>за один учебный год при обучении по индивидуальному учебному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3.4. При реализации программы магистратуры организация вправе применять электронное обучение и дистанционные образовательные технологии.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3.5. Реализация программы магистратуры возможна с использованием сетевой формы.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магистратуры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74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МАГИСТРАТУРЫ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4.1. </w:t>
      </w:r>
      <w:proofErr w:type="gramStart"/>
      <w:r>
        <w:rPr>
          <w:rFonts w:cs="Times New Roman"/>
        </w:rPr>
        <w:t>Область профессиональной деятельности выпускников, освоивших программу магистратуры, включает разработку научных основ, создание и внедрение энерго- и ресурсосберегающих, экологически безопасных технологий в производствах основных неорганических веществ, продуктов основного и тонкого органического синтеза, полимерных материалов, продуктов переработки нефти, газа и твердого топлива, микробиологического синтеза, лекарственных препаратов и пищевых продуктов, разработку методов обращения с промышленными и бытовыми отходами и вторичными сырьевыми ресурсами.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магистратуры, включает: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процессы и аппараты в химической технологии, нефтехимии и биотехнологии;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промышленные установки и технологические схемы, включая системы автоматизированного управления;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автоматизированные системы научных исследований и системы автоматизированного проектирования;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сооружения очистки сточных вод и газовых выбросов, переработки отходов, утилизации теплоэнергетических потоков и вторичных материалов;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методы и средства оценки состояния окружающей среды и защиты ее от антропогенного воздействия;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системы искусственного интеллекта в химической технологии, нефтехимии и биотехнологии;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многоассортиментные производства химической и смежных отраслей </w:t>
      </w:r>
      <w:r>
        <w:rPr>
          <w:rFonts w:cs="Times New Roman"/>
        </w:rPr>
        <w:lastRenderedPageBreak/>
        <w:t>промышленности.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магистратуры: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педагогическая.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разработке и реализации программы магистратуры организация ориентируется на конкретный вид (виды) профессиональной деятельности, к которому (которым) готовится магистр, исходя из потребностей рынка труда, научно-исследовательских и материально-технических ресурсов организации.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Программа магистратуры формируется организацией в зависимости от видов деятельности и требований к результатам освоения образовательной программы: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академической магистратуры);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производственно-технологический, практико-ориентированный, прикладной вид (виды) профессиональной деятельности как основной (основные) (далее - программа прикладной магистратуры).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 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постановка и формулирование задач научных исследований по разработке энерго- и ресурсосберегающих технологий;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новых технических и технологических решений на основе результатов научных исследований;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создание теоретических моделей технологических процессов, аппаратов и свойства материалов и изделий;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алгоритмов и программ, выполнение прикладных научных исследований, обработка и анализ их результатов, формулирование выводов и рекомендаций;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научно-технических отчетов и аналитических обзоров, публикация научных результатов;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мероприятий по защите интеллектуальной собственности и результатов исследований;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интеллектуальных систем для научных исследований;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решение задач оптимизации технологических процессов и систем с позиций энерго- и ресурсосбережения;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разработка норм выработки, технологических нормативов на расход </w:t>
      </w:r>
      <w:r>
        <w:rPr>
          <w:rFonts w:cs="Times New Roman"/>
        </w:rPr>
        <w:lastRenderedPageBreak/>
        <w:t>сырья и вспомогательных материалов, топлива и электроэнергии, выбор оборудования и технологической оснастки химических, нефтехимических, биотехнологических производств;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внедрение в производство новых энерго- и ресурсосберегающих технологических процессов;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оценка экономической эффективности технологических процессов, их экологической безопасности и технологических рисков при внедрении новых технологий;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мероприятий по комплексному использованию сырья, по замене дефицитных материалов и изыскание способов утилизации отходов производства, выбор систем обеспечения экологической безопасности производства на основе алгоритмов и программ расчетов параметров технологических процессов;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систем управления процессами и производством;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работы коллектива исполнителей, принятие управленческих решений, организация повышения квалификации сотрудников подразделений в области профессиональной деятельности;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внедрение результатов научно-исследовательских разработок в производство;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участие в работе производственных природоохранных структур, органов надзора за экологической безопасностью на предприятиях и в регионах;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экологического аудита и мероприятий, связанных с защитой окружающей среды;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осуществление производственного, экологического контроля и управления качеством продукции;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и анализ альтернативных технологических процессов, прогнозирование технологических, экономических и экологических последствий;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заданий на разработку проектных решений;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проектов, технических условий, стандартов и технических описаний новых материалов и изделий;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разделов "Охрана окружающей природной среды" в обоснованиях инвестиций и проектах;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разработке проектов новых энерго-, ресурсосберегающих и экологически безопасных производств;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учебно-методической документации, проведение лабораторных и практических занятий, разработка методов контроля знаний обучающихся;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подготовка мультимедийных материалов для модернизации учебного процесса.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28"/>
      <w:bookmarkEnd w:id="7"/>
      <w:r>
        <w:rPr>
          <w:rFonts w:cs="Times New Roman"/>
        </w:rPr>
        <w:lastRenderedPageBreak/>
        <w:t>V. ТРЕБОВАНИЯ К РЕЗУЛЬТАТАМ ОСВОЕНИЯ ПРОГРАММЫ МАГИСТРАТУРЫ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В результате освоения программы магистратуры у выпускника должны быть сформированы общекультурные, общепрофессиональные и профессиональные компетенции.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Выпускник, освоивший программу магистратуры, должен обладать следующими общекультурными компетенциями: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абстрактному мышлению, анализу, синтезу (ОК-1);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действовать в нестандартных ситуациях, нести социальную и этическую ответственность за принятые решения (ОК-2);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саморазвитию, самореализации, использованию творческого потенциала (ОК-3).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Выпускник, освоивший программу магистратуры, должен обладать следующими общепрофессиональными компетенциями: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готовностью к коммуникации в устной и письменной формах на русском и иностранном языках для решения задач профессиональной деятельности (ОПК-1);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профессиональной эксплуатации современного оборудования и приборов в соответствии с направлением и профилем подготовки (ОПК-3);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использованию методов математического моделирования материалов и технологических процессов, к теоретическому анализу и экспериментальной проверке теоретических гипотез (ОПК-4);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защите объектов интеллектуальной собственности и коммерциализации прав на объекты интеллектуальной собственности (ОПК-5).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5.4. </w:t>
      </w:r>
      <w:proofErr w:type="gramStart"/>
      <w:r>
        <w:rPr>
          <w:rFonts w:cs="Times New Roman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формулировать научно-исследовательские задачи в области реализации энерго- и ресурсосбережения и решать их (ПК-1);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организовать самостоятельную и коллективную научно-исследовательскую работу (ПК-2);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поиску, обработке, анализу и систематизации научно-технической информации по теме исследования, выбору методик и средств решения задачи (ПК-3);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современные методики и методы, в проведении экспериментов и испытаний, анализировать их результаты и осуществлять их корректную интерпретацию (ПК-4);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способностью составлять научно-технические отчеты и готовить публикации по результатам выполненных исследований (ПК-5);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разрабатывать математические модели и осуществлять их экспериментальную проверку (ПК-6);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разработке мероприятий по энерго- и ресурсосбережению, выбору оборудования и технологической оснастке (ПК-7);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разработке технических заданий на проектирование и изготовление нестандартного оборудования (ПК-8);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анализу технологических процессов с целью повышения показателей энерго- и ресурсосбережения, к оценке экономической эффективности технологических процессов, их экологической безопасности (ПК-9);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оценивать инновационный и технологический риски при внедрении новых технологий (ПК-10);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мероприятия по комплексному использованию сырья, по замене дефицитных материалов (ПК-11);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создавать технологии утилизации отходов и системы обеспечения экологической безопасности производства (ПК-12);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организационно-управленческая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оценивать экономические и экологические последствия принимаемых организационно-управленческих решений (ПК-13);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организации работы коллектива исполнителей, принятию решений и определению приоритетности выполняемых работ (ПК-14);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находить оптимальные решения при создании продукции с учетом требований качества, надежности, стоимости и экологической безопасности производств (ПК-15);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современные системы управления качеством в конкретных условиях производства на основе международных стандартов (ПК-16);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разрабатывать информационные системы планирования и управления предприятием (ПК-17);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проектной деятельности в профессиональной сфере на основе системного подхода и использования моделей для описания и прогнозирования ситуаций, осуществления качественного и количественного анализа процессов в целом и отдельных технологических стадий (ПК-18);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 формулировать задания на разработку проектных решений (ПК-19);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проведению патентных исследований с целью обеспечения патентной чистоты новых проектных решений и определения показателей технического уровня проекта (ПК-20);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проводить технические и технологические расчеты по проектам, технико-экономической, функционально-стоимостной и эколого-</w:t>
      </w:r>
      <w:r>
        <w:rPr>
          <w:rFonts w:cs="Times New Roman"/>
        </w:rPr>
        <w:lastRenderedPageBreak/>
        <w:t>экономической эффективности проекта (ПК-21);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оценке инновационного потенциала проекта (ПК-22);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пакеты прикладных программ при выполнении проектных работ (ПК-23);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методические и нормативные документы, техническую документацию, а также предложения и мероприятия по реализации разработанных проектов и программ (ПК-24);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педагогическая деятельность: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разработке учебно-методической документации для обеспечения учебного процесса (ПК-25);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постановке новых лабораторных работ и проведению практических занятий (ПК-26).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5.5. При разработке программы магистратуры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магистратуры, включаются в набор требуемых результатов освоения программы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5.6.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(или) вид (виды) деятельности.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5.7. При разработке программы магистратуры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177"/>
      <w:bookmarkEnd w:id="8"/>
      <w:r>
        <w:rPr>
          <w:rFonts w:cs="Times New Roman"/>
        </w:rPr>
        <w:t>VI. ТРЕБОВАНИЯ К СТРУКТУРЕ ПРОГРАММЫ МАГИСТРАТУРЫ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Структура программы магистратуры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магистратуры,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Программа магистратуры состоит из следующих блоков: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2 "Практики, в том числе научно-исследовательская работа (НИР)", который в полном объеме относится к вариативной части программы.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--------------------------------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187"/>
      <w:bookmarkEnd w:id="9"/>
      <w:r>
        <w:rPr>
          <w:rFonts w:cs="Times New Roman"/>
        </w:rPr>
        <w:t>Структура программы магистратуры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  <w:sectPr w:rsidR="0011614D" w:rsidSect="009218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360"/>
        <w:gridCol w:w="2160"/>
      </w:tblGrid>
      <w:tr w:rsidR="0011614D"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магистратуры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 в зачетных единицах</w:t>
            </w:r>
          </w:p>
        </w:tc>
      </w:tr>
      <w:tr w:rsidR="0011614D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0" w:name="Par193"/>
            <w:bookmarkEnd w:id="10"/>
            <w:r>
              <w:rPr>
                <w:rFonts w:cs="Times New Roman"/>
              </w:rPr>
              <w:t>Блок 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</w:tr>
      <w:tr w:rsidR="0011614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18 - 24</w:t>
            </w:r>
          </w:p>
        </w:tc>
      </w:tr>
      <w:tr w:rsidR="0011614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36 - 42</w:t>
            </w:r>
          </w:p>
        </w:tc>
      </w:tr>
      <w:tr w:rsidR="0011614D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1" w:name="Par200"/>
            <w:bookmarkEnd w:id="11"/>
            <w:r>
              <w:rPr>
                <w:rFonts w:cs="Times New Roman"/>
              </w:rPr>
              <w:t>Блок 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Практики, в том числе научно-исследовательская работа (НИР)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51 - 54</w:t>
            </w:r>
          </w:p>
        </w:tc>
      </w:tr>
      <w:tr w:rsidR="0011614D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51 - 54</w:t>
            </w:r>
          </w:p>
        </w:tc>
      </w:tr>
      <w:tr w:rsidR="0011614D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bookmarkStart w:id="12" w:name="Par205"/>
            <w:bookmarkEnd w:id="12"/>
            <w:r>
              <w:rPr>
                <w:rFonts w:cs="Times New Roman"/>
              </w:rPr>
              <w:t>Блок 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11614D"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магистратуры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14D" w:rsidRDefault="001161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</w:tr>
    </w:tbl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  <w:sectPr w:rsidR="0011614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магистратуры,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6.4. Дисциплины (модули), относящиеся к вариативной части программы магистратуры, практики (в том числе НИР) определяют направленность (профиль) программы. Набор дисциплин (модулей) и практик (в том числе НИР), относящихся к вариативной части </w:t>
      </w:r>
      <w:hyperlink w:anchor="Par193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 и </w:t>
      </w:r>
      <w:hyperlink w:anchor="Par200" w:history="1">
        <w:r>
          <w:rPr>
            <w:rFonts w:cs="Times New Roman"/>
            <w:color w:val="0000FF"/>
          </w:rPr>
          <w:t>Блока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программ академической или прикладной магистратуры,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программы, набор соответствующих дисциплин (модулей), практик (в том числе НИР) становится обязательным для освоения обучающимся.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6.5. В </w:t>
      </w:r>
      <w:hyperlink w:anchor="Par200" w:history="1">
        <w:r>
          <w:rPr>
            <w:rFonts w:cs="Times New Roman"/>
            <w:color w:val="0000FF"/>
          </w:rPr>
          <w:t>Блок 2</w:t>
        </w:r>
      </w:hyperlink>
      <w:r>
        <w:rPr>
          <w:rFonts w:cs="Times New Roman"/>
        </w:rP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НИР.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Способы проведения учебной и производственной практик: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выездная.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При разработке программ магистратуры организация выбирает типы практик в зависимости от вида (видов) деятельности, на который (которые) ориентирована программа магистратуры. Организация вправе предусмотреть в программе магистратуры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6.6. В </w:t>
      </w:r>
      <w:hyperlink w:anchor="Par205" w:history="1">
        <w:r>
          <w:rPr>
            <w:rFonts w:cs="Times New Roman"/>
            <w:color w:val="0000FF"/>
          </w:rPr>
          <w:t>Блок 3</w:t>
        </w:r>
      </w:hyperlink>
      <w:r>
        <w:rPr>
          <w:rFonts w:cs="Times New Roman"/>
        </w:rPr>
        <w:t xml:space="preserve"> "Государственная итоговая аттестация" входит защита </w:t>
      </w:r>
      <w:r>
        <w:rPr>
          <w:rFonts w:cs="Times New Roman"/>
        </w:rPr>
        <w:lastRenderedPageBreak/>
        <w:t>выпускной квалификационной работы, включая подготовку к защите и процедуру защиты, а также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6.7. При разработке программы магистратуры обучающимся обеспечивается возможность освоения дисциплин (модулей) по выбору, в том числе специализированные условия инвалидам и лицам с ограниченными возможностями здоровья, в объеме не менее 30 процентов вариативной части </w:t>
      </w:r>
      <w:hyperlink w:anchor="Par193" w:history="1">
        <w:r>
          <w:rPr>
            <w:rFonts w:cs="Times New Roman"/>
            <w:color w:val="0000FF"/>
          </w:rPr>
          <w:t>Блока 1</w:t>
        </w:r>
      </w:hyperlink>
      <w:r>
        <w:rPr>
          <w:rFonts w:cs="Times New Roman"/>
        </w:rPr>
        <w:t xml:space="preserve"> "Дисциплины (модули)".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6.8. Количество часов, отведенных на занятия лекционного типа, в целом по </w:t>
      </w:r>
      <w:hyperlink w:anchor="Par193" w:history="1">
        <w:r>
          <w:rPr>
            <w:rFonts w:cs="Times New Roman"/>
            <w:color w:val="0000FF"/>
          </w:rPr>
          <w:t>Блоку 1</w:t>
        </w:r>
      </w:hyperlink>
      <w:r>
        <w:rPr>
          <w:rFonts w:cs="Times New Roman"/>
        </w:rPr>
        <w:t xml:space="preserve"> "Дисциплины (модули)" должно составлять не более 30 процентов от общего количества часов аудиторных занятий, отведенных на реализацию этого Блока.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3" w:name="Par230"/>
      <w:bookmarkEnd w:id="13"/>
      <w:r>
        <w:rPr>
          <w:rFonts w:cs="Times New Roman"/>
        </w:rPr>
        <w:t>VII. ТРЕБОВАНИЯ К УСЛОВИЯМ РЕАЛИЗАЦИИ</w:t>
      </w:r>
    </w:p>
    <w:p w:rsidR="0011614D" w:rsidRDefault="0011614D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ПРОГРАММЫ МАГИСТРАТУРЫ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4" w:name="Par233"/>
      <w:bookmarkEnd w:id="14"/>
      <w:r>
        <w:rPr>
          <w:rFonts w:cs="Times New Roman"/>
        </w:rPr>
        <w:t>7.1. Общесистемные требования к реализации программы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2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7.1.3.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7.1.4.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</w:t>
      </w:r>
      <w:r>
        <w:rPr>
          <w:rFonts w:cs="Times New Roman"/>
        </w:rPr>
        <w:lastRenderedPageBreak/>
        <w:t>организации.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Среднегодовое число публикаций научно-педагогических работников организации за период реализации программы магистратуры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7.1.8. </w:t>
      </w:r>
      <w:proofErr w:type="gramStart"/>
      <w:r>
        <w:rPr>
          <w:rFonts w:cs="Times New Roman"/>
        </w:rPr>
        <w:t>В организации, реализующей программы магистратуры,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5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5" w:name="Par255"/>
      <w:bookmarkEnd w:id="15"/>
      <w:r>
        <w:rPr>
          <w:rFonts w:cs="Times New Roman"/>
        </w:rPr>
        <w:t>7.2. Требования к кадровым условиям реализации программы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7.2.1. Реализация программы магистратуры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быть не менее: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75 процентов для программы академической магистратуры;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60 процентов для программы прикладной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работников, реализующих программу магистратуры, должна быть не менее:</w:t>
      </w:r>
      <w:proofErr w:type="gramEnd"/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5 процентов для программы академической магистратуры;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10 процентов для программы прикладной магистратуры,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7.2.5. </w:t>
      </w:r>
      <w:proofErr w:type="gramStart"/>
      <w:r>
        <w:rPr>
          <w:rFonts w:cs="Times New Roman"/>
        </w:rPr>
        <w:t>Общее руководство научным содержанием программы магистратуры определенной направленности (профиля) должно осуществляться штатным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</w:t>
      </w:r>
      <w:proofErr w:type="gramEnd"/>
      <w:r>
        <w:rPr>
          <w:rFonts w:cs="Times New Roman"/>
        </w:rPr>
        <w:t xml:space="preserve"> научных журналах и изданиях, а также </w:t>
      </w:r>
      <w:proofErr w:type="gramStart"/>
      <w:r>
        <w:rPr>
          <w:rFonts w:cs="Times New Roman"/>
        </w:rPr>
        <w:t>осуществляющим</w:t>
      </w:r>
      <w:proofErr w:type="gramEnd"/>
      <w:r>
        <w:rPr>
          <w:rFonts w:cs="Times New Roman"/>
        </w:rPr>
        <w:t xml:space="preserve">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6" w:name="Par266"/>
      <w:bookmarkEnd w:id="16"/>
      <w:r>
        <w:rPr>
          <w:rFonts w:cs="Times New Roman"/>
        </w:rPr>
        <w:t>7.3. Требования к материально-техническому и учебно-методическому обеспечению программ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магистратуры,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осваивать умения и навыки, предусмотренные профессиональной деятельностью.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7" w:name="Par278"/>
      <w:bookmarkEnd w:id="17"/>
      <w:r>
        <w:rPr>
          <w:rFonts w:cs="Times New Roman"/>
        </w:rPr>
        <w:t>7.4. Требования к финансовым условиям реализации программ магистратуры.</w:t>
      </w:r>
    </w:p>
    <w:p w:rsidR="0011614D" w:rsidRDefault="0011614D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1614D" w:rsidRDefault="0011614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18" w:name="_GoBack"/>
      <w:bookmarkEnd w:id="18"/>
    </w:p>
    <w:sectPr w:rsidR="002B18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4D"/>
    <w:rsid w:val="0011614D"/>
    <w:rsid w:val="002B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3EDD5E51A8FD8C0D2BE7BA24D1C46BF9C054F3F4459DBEEBBABF10A2AF2I" TargetMode="External"/><Relationship Id="rId13" Type="http://schemas.openxmlformats.org/officeDocument/2006/relationships/hyperlink" Target="consultantplus://offline/ref=7A43EDD5E51A8FD8C0D2BE7BA24D1C46BF9B07463E4159DBEEBBABF10A2AF2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3EDD5E51A8FD8C0D2BE7BA24D1C46BF9B09403B4759DBEEBBABF10AA283D3820BD3D30DF5FA3B2AFDI" TargetMode="External"/><Relationship Id="rId12" Type="http://schemas.openxmlformats.org/officeDocument/2006/relationships/hyperlink" Target="consultantplus://offline/ref=7A43EDD5E51A8FD8C0D2BE7BA24D1C46BF9B044F3C4159DBEEBBABF10A2AF2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43EDD5E51A8FD8C0D2BE7BA24D1C46BF9803473B4059DBEEBBABF10AA283D3820BD3D30DF5FA3E2A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43EDD5E51A8FD8C0D2BE7BA24D1C46BF9B04443F4959DBEEBBABF10AA283D3820BD3D30DF5FA392AFEI" TargetMode="External"/><Relationship Id="rId11" Type="http://schemas.openxmlformats.org/officeDocument/2006/relationships/hyperlink" Target="consultantplus://offline/ref=7A43EDD5E51A8FD8C0D2BE7BA24D1C46BF9B04443F4959DBEEBBABF10AA283D3820BD3D30DF5FA3D2AFE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43EDD5E51A8FD8C0D2BE7BA24D1C46BF9801433D4859DBEEBBABF10AA283D3820BD3D30DF5FA3E2AF9I" TargetMode="External"/><Relationship Id="rId10" Type="http://schemas.openxmlformats.org/officeDocument/2006/relationships/hyperlink" Target="consultantplus://offline/ref=7A43EDD5E51A8FD8C0D2BE7BA24D1C46BF9A0140384859DBEEBBABF10AA283D3820BD3D30DF4FF3B2AF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3EDD5E51A8FD8C0D2BE7BA24D1C46BF9C05413A4559DBEEBBABF10AA283D3820BD3D30DF5FB3B2AF6I" TargetMode="External"/><Relationship Id="rId14" Type="http://schemas.openxmlformats.org/officeDocument/2006/relationships/hyperlink" Target="consultantplus://offline/ref=7A43EDD5E51A8FD8C0D2BE7BA24D1C46BF9C03423A4659DBEEBBABF10AA283D3820BD3D30DF5FA3E2A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5532</Words>
  <Characters>31538</Characters>
  <Application>Microsoft Office Word</Application>
  <DocSecurity>0</DocSecurity>
  <Lines>262</Lines>
  <Paragraphs>73</Paragraphs>
  <ScaleCrop>false</ScaleCrop>
  <Company>SUTD</Company>
  <LinksUpToDate>false</LinksUpToDate>
  <CharactersWithSpaces>36997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2015-02-25T08:05:00Z</dcterms:created>
  <dcterms:modified xsi:type="dcterms:W3CDTF">2015-02-25T08:06:00Z</dcterms:modified>
</cp:coreProperties>
</file>